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1"/>
        <w:contextualSpacing w:val="0"/>
        <w:rPr/>
      </w:pPr>
      <w:bookmarkStart w:colFirst="0" w:colLast="0" w:name="_soc176klezb9" w:id="0"/>
      <w:bookmarkEnd w:id="0"/>
      <w:r w:rsidDel="00000000" w:rsidR="00000000" w:rsidRPr="00000000">
        <w:rPr>
          <w:rtl w:val="0"/>
        </w:rPr>
        <w:t xml:space="preserve">Centrální evidence hospodářských zvířat a označování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UPOZORNĚNÍ PRO CHOVATELE OVCÍ A KOZ</w:t>
      </w:r>
    </w:p>
    <w:p w:rsidR="00000000" w:rsidDel="00000000" w:rsidP="00000000" w:rsidRDefault="00000000" w:rsidRPr="00000000" w14:paraId="0000000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Nařízením Komise Evropského společenství č. 21/2004 byla zrušena výjimka pro chovatele ovcí a koz, kteří chovají nejvýše 3 ovce nebo kozy a která se týká povinností označování a evidence zvířat.</w:t>
      </w:r>
    </w:p>
    <w:p w:rsidR="00000000" w:rsidDel="00000000" w:rsidP="00000000" w:rsidRDefault="00000000" w:rsidRPr="00000000" w14:paraId="0000000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Z uvedeného vyplývá, že od 9. 7. 2005 povinnosti týkající se označování a evidence ovcí a koz stanovené zákonem č. 154/2000 Sb., (plemenářský zákon) a jeho prováděcími předpisy platí pro všechny jejich chovatele bez rozdílu, kolik těchto zvířat daný chovatel chová.</w:t>
      </w:r>
    </w:p>
    <w:p w:rsidR="00000000" w:rsidDel="00000000" w:rsidP="00000000" w:rsidRDefault="00000000" w:rsidRPr="00000000" w14:paraId="0000000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Znamená to tedy, že povinnost zaregistrovat svoje hospodářství u pověřené osoby, zajistit označení zvířat, vést vlastní evidenci a předávat údaje pověřené osobě (do ústřední evidence) platí od 9. 7. 2005 i pro chovatele pouze jedné ovce či kozy.</w:t>
      </w:r>
    </w:p>
    <w:p w:rsidR="00000000" w:rsidDel="00000000" w:rsidP="00000000" w:rsidRDefault="00000000" w:rsidRPr="00000000" w14:paraId="0000000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Pověřenou osobou je Českomoravská společnost chovatelů, a.s. (ČMSCH). Ta, jako osoba pověřená vedením ústřední evidence, chovateli přidělí pro každé jeho hospodářství registrační číslo platné v rámci celé republiky. Tato registrace se provádí na základě vyhlášky č. 136/2004 Sb. formou vyplnění a předání „Registračního lístku“, který chovatel obdrží buď na adrese ČMSCH, nebo u kteréhokoliv kontaktního pracoviště ČMSCH případně na webové stránce ČMSCH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www.cmsch.cz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Adresa ČMSCH: Českomoravská společnost chovatelů, a.s. pracoviště Hradišťko pod Medníkem útvar ústřední evidence</w:t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252 09 Hradišťko pod Medníkem</w:t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Informace o změnách ve značení ovcí a koz a přihláškách do ústřední evidence</w:t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Dnem 01.01.2004 nabyla účinnosti novela plemenářského zákona č.154/2000 Sb. Tato novela byla vyhlášena ve Sbírce zákonů pod číslem 282/2003 Sb. K novele plemenářského zákona byla 19.03.2004 vydána vyhláška č. 136/2004 Sb. s účinností od 01.04.2004. Tato vyhláška stanoví podrobnosti označování zvířat a jejich evidenci, evidenci hospodářství a osob stanovených plemenářským zákonem.</w:t>
      </w:r>
    </w:p>
    <w:p w:rsidR="00000000" w:rsidDel="00000000" w:rsidP="00000000" w:rsidRDefault="00000000" w:rsidRPr="00000000" w14:paraId="0000001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Ovce a kozy se označují vždy dvěma identickými plastovými ušními známkami. Na zvířata narozená do 30. 9. 2004 se budou i nadále používat dosavadní páskové plastové ušní známky, kterými zvířata označíte do 7 dnů po narození.</w:t>
      </w:r>
    </w:p>
    <w:p w:rsidR="00000000" w:rsidDel="00000000" w:rsidP="00000000" w:rsidRDefault="00000000" w:rsidRPr="00000000" w14:paraId="0000001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Ovcím a kozám označeným platnými ušními známkami podle dosavadních právních předpisů lze tyto plastové ušní známky ponechat, pokud obsahují</w:t>
      </w:r>
    </w:p>
    <w:p w:rsidR="00000000" w:rsidDel="00000000" w:rsidP="00000000" w:rsidRDefault="00000000" w:rsidRPr="00000000" w14:paraId="0000001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a) identifikační číslo zvířete</w:t>
      </w:r>
    </w:p>
    <w:p w:rsidR="00000000" w:rsidDel="00000000" w:rsidP="00000000" w:rsidRDefault="00000000" w:rsidRPr="00000000" w14:paraId="0000001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b) grafický znak (logo ČMSCH), grafický znak nemusí obsahovat dosavadní plastové ušní známky koz a ovcí narozených do 31.3.2002.</w:t>
      </w:r>
    </w:p>
    <w:p w:rsidR="00000000" w:rsidDel="00000000" w:rsidP="00000000" w:rsidRDefault="00000000" w:rsidRPr="00000000" w14:paraId="0000001B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Do vyčerpání zásob páskových známek si tyto objednávejte i nadále u pověřených pracovníků SCHOK. Za tyto známky neplatíte!</w:t>
      </w:r>
    </w:p>
    <w:p w:rsidR="00000000" w:rsidDel="00000000" w:rsidP="00000000" w:rsidRDefault="00000000" w:rsidRPr="00000000" w14:paraId="0000001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Po vyčerpání zásob si ušní známky objednáte přímo u ČMSCH – viz vzor objednávky. Objednáte si pouze takový počet ušních známek, aby zásoba párových sad nepřesáhla dvojnásobek počtu samic starších 12 měsíců na příslušném hospodářství chovu ovcí a koz. Vaše objednávka bude zkontrolována se stavem v ÚE, zaevidována a postoupena výrobci M.A.V.E Bořetice s.r.o. Výrobce Vám vyrobené ušní známky zašle dobírkou (cena dobírky = poštovné + balné + doplatek chovatele 3,-Kč / 1 známka, to je 6,-Kč za 1 zvíře + DPH – od 9.4.04).</w:t>
      </w:r>
    </w:p>
    <w:p w:rsidR="00000000" w:rsidDel="00000000" w:rsidP="00000000" w:rsidRDefault="00000000" w:rsidRPr="00000000" w14:paraId="0000001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Na jehňata a kůzlata narozená po 1.10.2004 se bude používat nový typ známky. Známka se skládá ze dvou částí spojených trnem, velikost známky je minimálně 25 mm výška a 25 mm šířka. Výška uvedených alfanumerických znaků je minimálně 5 mm. Každá část obsahuje identifikační číslo zvířete (5-ti místné číslo zvířete a 3-místný kodex) a kód příslušného úřadu (Mze).</w:t>
      </w:r>
    </w:p>
    <w:p w:rsidR="00000000" w:rsidDel="00000000" w:rsidP="00000000" w:rsidRDefault="00000000" w:rsidRPr="00000000" w14:paraId="00000021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Při ztrátě, nečitelnosti nebo poškození původní ušní známky si objednáte duplikát. Duplikát má minimální rozměr 35 x 35 mm, výška alfanumerických znaků nejméně 5 mm. Na známce je napsáno, o jaké pořadí duplikátu se jedná (duplikát I.,II.,III atd.). Postup při objednávání je stejný jako při objednávce nových ušních známek (viz vzor objednávky).</w:t>
      </w:r>
    </w:p>
    <w:p w:rsidR="00000000" w:rsidDel="00000000" w:rsidP="00000000" w:rsidRDefault="00000000" w:rsidRPr="00000000" w14:paraId="0000002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V době od 01.04.2004-30.09.2004 lze použít oba typy duplikátů, to znamená původní páskové nebo výše popsaný nový typ. Duplikáty si plně hradí chovatel, jsou opět zasílány na dobírku (cena dobírky = poštovné + balné + 5,-Kč za 1 páskovou zn., nebo 13,-Kč za velký duplikát + DPH).</w:t>
      </w:r>
    </w:p>
    <w:p w:rsidR="00000000" w:rsidDel="00000000" w:rsidP="00000000" w:rsidRDefault="00000000" w:rsidRPr="00000000" w14:paraId="00000024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Na nové známky, které budete dávat zvířatům narozeným po 01.10.2004, nemůžete používat kleště na páskové známky. Kleště MK-2 s plným hrotem na malé známky si objednáte u M.A.V.E Bořetice, Bořetická 9, 691 08 Bořetice. Tato firma Vám může dodat i dutý hrot ke kleštím MK-2 pro aplikaci velkých duplikátů. Přibližná cena kleští s plným hrotem je 585,-Kč včetně DPH, cena náhradního dutého hrotu je 70,-Kč včetně DPH.</w:t>
      </w:r>
    </w:p>
    <w:p w:rsidR="00000000" w:rsidDel="00000000" w:rsidP="00000000" w:rsidRDefault="00000000" w:rsidRPr="00000000" w14:paraId="0000002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Chovatelé, kteří vlastní kleště na označování skotu (PRIMA – FLEX), si rovněž u M.A.V.E Bořetice mohou objednat vyměnitelné vložky do těchto kleští. Pro malé známky je to vložka šedá (90,-Kč včetně DPH) a pro velké známky – duplikát vložka modrá (120,-Kč včetně DPH).</w:t>
      </w:r>
    </w:p>
    <w:p w:rsidR="00000000" w:rsidDel="00000000" w:rsidP="00000000" w:rsidRDefault="00000000" w:rsidRPr="00000000" w14:paraId="0000002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Objednávky ušních známek na jehňata a kůzlata narozená po 01.10.2004 posílejte již v předstihu (červen-červenec 2004), aby byl dostatek času na jejich výrobu a distribuci.</w:t>
      </w:r>
    </w:p>
    <w:p w:rsidR="00000000" w:rsidDel="00000000" w:rsidP="00000000" w:rsidRDefault="00000000" w:rsidRPr="00000000" w14:paraId="0000002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Na tyto objednávky Vám zasíláme tiskopis, který není totožný s tiskopisem pro objednávku ušních známek na zvířata narozená do 30.09.2004.</w:t>
      </w:r>
    </w:p>
    <w:p w:rsidR="00000000" w:rsidDel="00000000" w:rsidP="00000000" w:rsidRDefault="00000000" w:rsidRPr="00000000" w14:paraId="0000002A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Barva známky – velký duplikát od 1.4.2004</w:t>
      </w:r>
    </w:p>
    <w:p w:rsidR="00000000" w:rsidDel="00000000" w:rsidP="00000000" w:rsidRDefault="00000000" w:rsidRPr="00000000" w14:paraId="0000002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Barva známky do 30.09.2004</w:t>
      </w:r>
    </w:p>
    <w:p w:rsidR="00000000" w:rsidDel="00000000" w:rsidP="00000000" w:rsidRDefault="00000000" w:rsidRPr="00000000" w14:paraId="0000002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Barva známky od 1.10.2004</w:t>
      </w:r>
    </w:p>
    <w:p w:rsidR="00000000" w:rsidDel="00000000" w:rsidP="00000000" w:rsidRDefault="00000000" w:rsidRPr="00000000" w14:paraId="0000002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900.0" w:type="dxa"/>
        <w:jc w:val="left"/>
        <w:tblInd w:w="3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25"/>
        <w:gridCol w:w="1725"/>
        <w:gridCol w:w="1725"/>
        <w:gridCol w:w="1725"/>
        <w:tblGridChange w:id="0">
          <w:tblGrid>
            <w:gridCol w:w="1725"/>
            <w:gridCol w:w="1725"/>
            <w:gridCol w:w="1725"/>
            <w:gridCol w:w="1725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Jehnička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sytě žlutá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zelená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sytě žlutá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Beránek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oranžová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oranžová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oranžová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Kozička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bílá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right="-8.858267716535124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růžovofialová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bílá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Kozlík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modrá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modrá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300.0" w:type="dxa"/>
              <w:bottom w:w="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modrá</w:t>
            </w:r>
          </w:p>
        </w:tc>
      </w:tr>
    </w:tbl>
    <w:p w:rsidR="00000000" w:rsidDel="00000000" w:rsidP="00000000" w:rsidRDefault="00000000" w:rsidRPr="00000000" w14:paraId="0000003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Doporučujeme vám, abyste využili dosavadních páskových duplikátů (dělené, nedělené), jejichž používání je povoleno do 30.09.2004. Kvalita těchto známek se podstatně zlepšila.</w:t>
      </w:r>
    </w:p>
    <w:p w:rsidR="00000000" w:rsidDel="00000000" w:rsidP="00000000" w:rsidRDefault="00000000" w:rsidRPr="00000000" w14:paraId="0000004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Průběžně si kontrolujte výpisy z ÚE, věnujte pozornost správnosti údajů o pohlaví (M,F) a kodexu.</w:t>
      </w:r>
    </w:p>
    <w:p w:rsidR="00000000" w:rsidDel="00000000" w:rsidP="00000000" w:rsidRDefault="00000000" w:rsidRPr="00000000" w14:paraId="0000004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Přidělené ušní známky, které budou u ČMSCH adresně evidovány, si mezi sebou neprodávejte, nepůjčujte. Všechna označená zvířata hlaste do ÚE, je dosud značný nesoulad mezi počtem vydaných známek a počtem narozených jehňat a kůzlat.</w:t>
      </w:r>
    </w:p>
    <w:p w:rsidR="00000000" w:rsidDel="00000000" w:rsidP="00000000" w:rsidRDefault="00000000" w:rsidRPr="00000000" w14:paraId="0000004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Všechny objednávky se přijímají pouze písemně jak na duplicitní známky, tak na nově narozená mláďata, případně e-mailem nebo faxem.</w:t>
      </w:r>
    </w:p>
    <w:p w:rsidR="00000000" w:rsidDel="00000000" w:rsidP="00000000" w:rsidRDefault="00000000" w:rsidRPr="00000000" w14:paraId="00000043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V případě dotazů týkajících se ušních známek ovcí a koz kontaktujte pracovníky ČMSCH a.s.:</w:t>
      </w:r>
    </w:p>
    <w:p w:rsidR="00000000" w:rsidDel="00000000" w:rsidP="00000000" w:rsidRDefault="00000000" w:rsidRPr="00000000" w14:paraId="0000004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Ing. Kölbl, tel: 606 630 366, ústř. 257 896 444</w:t>
      </w:r>
    </w:p>
    <w:p w:rsidR="00000000" w:rsidDel="00000000" w:rsidP="00000000" w:rsidRDefault="00000000" w:rsidRPr="00000000" w14:paraId="0000004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pí. Klímová, tel: 257 896 284, fax: 257 840 491, e-mail: klimova@cmsch.cz</w:t>
      </w:r>
    </w:p>
    <w:p w:rsidR="00000000" w:rsidDel="00000000" w:rsidP="00000000" w:rsidRDefault="00000000" w:rsidRPr="00000000" w14:paraId="0000004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Tiskopisy a program na vedení ústřední evidence je možné si stáhnout z našich stránek: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www.cmsch.cz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8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Dotazy týkající se ústřední evidence zodpoví všem chovatelům pracovnice ústřední evidence a regionální pracovníci ČMSCH a.s.</w:t>
      </w:r>
    </w:p>
    <w:p w:rsidR="00000000" w:rsidDel="00000000" w:rsidP="00000000" w:rsidRDefault="00000000" w:rsidRPr="00000000" w14:paraId="0000004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Hradištko p. M., tel.: 257 740 619 př., 257 896 212, 264,</w:t>
      </w:r>
    </w:p>
    <w:p w:rsidR="00000000" w:rsidDel="00000000" w:rsidP="00000000" w:rsidRDefault="00000000" w:rsidRPr="00000000" w14:paraId="0000004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335, mobil: 723 980 462, fax: 257 740 613</w:t>
      </w:r>
    </w:p>
    <w:p w:rsidR="00000000" w:rsidDel="00000000" w:rsidP="00000000" w:rsidRDefault="00000000" w:rsidRPr="00000000" w14:paraId="0000004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Praha – Ing. Hesserová, tel.: 283 870 257, fax: 220 416 260</w:t>
      </w:r>
    </w:p>
    <w:p w:rsidR="00000000" w:rsidDel="00000000" w:rsidP="00000000" w:rsidRDefault="00000000" w:rsidRPr="00000000" w14:paraId="0000004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Plzeň – Ing. Kašparová, tel.: 377 244 584,</w:t>
      </w:r>
    </w:p>
    <w:p w:rsidR="00000000" w:rsidDel="00000000" w:rsidP="00000000" w:rsidRDefault="00000000" w:rsidRPr="00000000" w14:paraId="0000004F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mobil: 724 149 619</w:t>
      </w:r>
    </w:p>
    <w:p w:rsidR="00000000" w:rsidDel="00000000" w:rsidP="00000000" w:rsidRDefault="00000000" w:rsidRPr="00000000" w14:paraId="00000050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Hradec Králové – pí Knajflová, tel.: 495 404 157,</w:t>
      </w:r>
    </w:p>
    <w:p w:rsidR="00000000" w:rsidDel="00000000" w:rsidP="00000000" w:rsidRDefault="00000000" w:rsidRPr="00000000" w14:paraId="0000005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mobil: 724 171 227</w:t>
      </w:r>
    </w:p>
    <w:p w:rsidR="00000000" w:rsidDel="00000000" w:rsidP="00000000" w:rsidRDefault="00000000" w:rsidRPr="00000000" w14:paraId="00000052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Pelhřimov – Ing. Vondruška (út, čt), tel.: 565 333 527,</w:t>
      </w:r>
    </w:p>
    <w:p w:rsidR="00000000" w:rsidDel="00000000" w:rsidP="00000000" w:rsidRDefault="00000000" w:rsidRPr="00000000" w14:paraId="0000005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mobil: 724 029 680</w:t>
      </w:r>
    </w:p>
    <w:p w:rsidR="00000000" w:rsidDel="00000000" w:rsidP="00000000" w:rsidRDefault="00000000" w:rsidRPr="00000000" w14:paraId="00000054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Chýnov – Ing. Vondruška (po, pá), tel.: 381 297 831</w:t>
      </w:r>
    </w:p>
    <w:p w:rsidR="00000000" w:rsidDel="00000000" w:rsidP="00000000" w:rsidRDefault="00000000" w:rsidRPr="00000000" w14:paraId="00000055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Opava – Ing. Nováková, tel.: 533 777 468, mobil:</w:t>
      </w:r>
    </w:p>
    <w:p w:rsidR="00000000" w:rsidDel="00000000" w:rsidP="00000000" w:rsidRDefault="00000000" w:rsidRPr="00000000" w14:paraId="00000056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602 132 615</w:t>
      </w:r>
    </w:p>
    <w:p w:rsidR="00000000" w:rsidDel="00000000" w:rsidP="00000000" w:rsidRDefault="00000000" w:rsidRPr="00000000" w14:paraId="0000005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Brno – Ing. Dohnalová, tel.: 541 214 047, mobil:</w:t>
      </w:r>
    </w:p>
    <w:p w:rsidR="00000000" w:rsidDel="00000000" w:rsidP="00000000" w:rsidRDefault="00000000" w:rsidRPr="00000000" w14:paraId="00000058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602 292 572</w:t>
      </w:r>
    </w:p>
    <w:p w:rsidR="00000000" w:rsidDel="00000000" w:rsidP="00000000" w:rsidRDefault="00000000" w:rsidRPr="00000000" w14:paraId="00000059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79175" cy="1976438"/>
                  <wp:effectExtent b="9525" l="9525" r="9525" t="9525"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175" cy="1976438"/>
                          </a:xfrm>
                          <a:prstGeom prst="rect"/>
                          <a:ln w="9525">
                            <a:solidFill>
                              <a:srgbClr val="E9EFAD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708736" cy="1690688"/>
                  <wp:effectExtent b="9525" l="9525" r="9525" t="9525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736" cy="1690688"/>
                          </a:xfrm>
                          <a:prstGeom prst="rect"/>
                          <a:ln w="9525">
                            <a:solidFill>
                              <a:srgbClr val="E9EFAD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Kleště MK-2 (s dutým hrotem)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Kleště PrimaFlex s modrou vložkou – pro duplikáty</w:t>
            </w:r>
          </w:p>
        </w:tc>
      </w:tr>
    </w:tbl>
    <w:p w:rsidR="00000000" w:rsidDel="00000000" w:rsidP="00000000" w:rsidRDefault="00000000" w:rsidRPr="00000000" w14:paraId="0000005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054100" cy="1422400"/>
                  <wp:effectExtent b="9525" l="9525" r="9525" t="9525"/>
                  <wp:docPr id="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422400"/>
                          </a:xfrm>
                          <a:prstGeom prst="rect"/>
                          <a:ln w="9525">
                            <a:solidFill>
                              <a:srgbClr val="E9EFAD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78000" cy="1752600"/>
                  <wp:effectExtent b="9525" l="9525" r="9525" t="9525"/>
                  <wp:docPr id="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752600"/>
                          </a:xfrm>
                          <a:prstGeom prst="rect"/>
                          <a:ln w="9525">
                            <a:solidFill>
                              <a:srgbClr val="E9EFAD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95075" cy="1519238"/>
                  <wp:effectExtent b="9525" l="9525" r="9525" t="9525"/>
                  <wp:docPr id="4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75" cy="1519238"/>
                          </a:xfrm>
                          <a:prstGeom prst="rect"/>
                          <a:ln w="9525">
                            <a:solidFill>
                              <a:srgbClr val="E9EFAD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Kleště PrimaFlex (skot)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Ušní známka (výrobce M.A.V.E. Bořetice)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contextualSpacing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Ušní známka duplikát (výrobce M.A.V.E. Bořetice)</w:t>
            </w:r>
          </w:p>
        </w:tc>
      </w:tr>
    </w:tbl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1.jpg"/><Relationship Id="rId12" Type="http://schemas.openxmlformats.org/officeDocument/2006/relationships/image" Target="media/image5.jp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hyperlink" Target="http://www.cmsch.cz/" TargetMode="External"/><Relationship Id="rId7" Type="http://schemas.openxmlformats.org/officeDocument/2006/relationships/hyperlink" Target="http://www.cmsch.cz/cz/kestazeni.php" TargetMode="Externa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